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03" w:rsidRDefault="00B62803" w:rsidP="00B62803">
      <w:pPr>
        <w:spacing w:line="240" w:lineRule="auto"/>
        <w:jc w:val="center"/>
        <w:rPr>
          <w:rFonts w:ascii="Bell MT" w:hAnsi="Bell MT"/>
          <w:b/>
          <w:sz w:val="24"/>
          <w:szCs w:val="24"/>
          <w:u w:val="single"/>
        </w:rPr>
      </w:pPr>
      <w:r w:rsidRPr="00393FDA">
        <w:rPr>
          <w:rFonts w:ascii="Bell MT" w:hAnsi="Bell MT"/>
          <w:b/>
          <w:sz w:val="24"/>
          <w:szCs w:val="24"/>
          <w:u w:val="single"/>
        </w:rPr>
        <w:t>La garantie du droit au respect de la vie privée face au fichier</w:t>
      </w:r>
    </w:p>
    <w:p w:rsidR="007B07E9" w:rsidRDefault="007B07E9" w:rsidP="007B07E9">
      <w:pPr>
        <w:spacing w:line="240" w:lineRule="auto"/>
        <w:jc w:val="center"/>
        <w:rPr>
          <w:rFonts w:ascii="Bell MT" w:hAnsi="Bell MT"/>
          <w:b/>
          <w:sz w:val="24"/>
          <w:szCs w:val="24"/>
          <w:u w:val="single"/>
        </w:rPr>
      </w:pPr>
      <w:r>
        <w:rPr>
          <w:rFonts w:ascii="Bell MT" w:hAnsi="Bell MT"/>
          <w:b/>
          <w:sz w:val="24"/>
          <w:szCs w:val="24"/>
          <w:u w:val="single"/>
        </w:rPr>
        <w:t>Résumé</w:t>
      </w:r>
    </w:p>
    <w:p w:rsidR="00450808" w:rsidRPr="00393FDA" w:rsidRDefault="00450808" w:rsidP="00B62803">
      <w:pPr>
        <w:spacing w:line="240" w:lineRule="auto"/>
        <w:jc w:val="center"/>
        <w:rPr>
          <w:rFonts w:ascii="Bell MT" w:hAnsi="Bell MT"/>
          <w:b/>
          <w:sz w:val="24"/>
          <w:szCs w:val="24"/>
          <w:u w:val="single"/>
        </w:rPr>
      </w:pPr>
      <w:r>
        <w:rPr>
          <w:rFonts w:ascii="Bell MT" w:hAnsi="Bell MT"/>
          <w:b/>
          <w:sz w:val="24"/>
          <w:szCs w:val="24"/>
          <w:u w:val="single"/>
        </w:rPr>
        <w:t>Vanessa Barbé, maître de conférences à l’Université d’Orléans</w:t>
      </w:r>
    </w:p>
    <w:p w:rsidR="00B62803" w:rsidRDefault="00B62803" w:rsidP="00B62803">
      <w:pPr>
        <w:spacing w:line="240" w:lineRule="auto"/>
        <w:jc w:val="both"/>
        <w:rPr>
          <w:rFonts w:ascii="Bell MT" w:hAnsi="Bell MT"/>
          <w:sz w:val="24"/>
          <w:szCs w:val="24"/>
        </w:rPr>
      </w:pPr>
    </w:p>
    <w:p w:rsidR="00B62803" w:rsidRDefault="00450808" w:rsidP="00B62803">
      <w:pPr>
        <w:spacing w:line="240" w:lineRule="auto"/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Classiquement considérée comme une sphère</w:t>
      </w:r>
      <w:r w:rsidR="00B62803" w:rsidRPr="00CC2CED">
        <w:rPr>
          <w:rFonts w:ascii="Bell MT" w:hAnsi="Bell MT"/>
          <w:sz w:val="24"/>
          <w:szCs w:val="24"/>
        </w:rPr>
        <w:t xml:space="preserve"> d’intimité dans </w:t>
      </w:r>
      <w:r>
        <w:rPr>
          <w:rFonts w:ascii="Bell MT" w:hAnsi="Bell MT"/>
          <w:sz w:val="24"/>
          <w:szCs w:val="24"/>
        </w:rPr>
        <w:t>la</w:t>
      </w:r>
      <w:r w:rsidR="00B62803" w:rsidRPr="00CC2CED">
        <w:rPr>
          <w:rFonts w:ascii="Bell MT" w:hAnsi="Bell MT"/>
          <w:sz w:val="24"/>
          <w:szCs w:val="24"/>
        </w:rPr>
        <w:t>quel</w:t>
      </w:r>
      <w:r>
        <w:rPr>
          <w:rFonts w:ascii="Bell MT" w:hAnsi="Bell MT"/>
          <w:sz w:val="24"/>
          <w:szCs w:val="24"/>
        </w:rPr>
        <w:t>le</w:t>
      </w:r>
      <w:r w:rsidR="00B62803" w:rsidRPr="00CC2CED">
        <w:rPr>
          <w:rFonts w:ascii="Bell MT" w:hAnsi="Bell MT"/>
          <w:sz w:val="24"/>
          <w:szCs w:val="24"/>
        </w:rPr>
        <w:t xml:space="preserve"> une personne publique ou privée ne peut péné</w:t>
      </w:r>
      <w:r>
        <w:rPr>
          <w:rFonts w:ascii="Bell MT" w:hAnsi="Bell MT"/>
          <w:sz w:val="24"/>
          <w:szCs w:val="24"/>
        </w:rPr>
        <w:t>trer sans y avoir été invitée, la garantie de la vie privée s</w:t>
      </w:r>
      <w:r w:rsidR="00B62803" w:rsidRPr="00CC2CED">
        <w:rPr>
          <w:rFonts w:ascii="Bell MT" w:hAnsi="Bell MT"/>
          <w:sz w:val="24"/>
          <w:szCs w:val="24"/>
        </w:rPr>
        <w:t xml:space="preserve">emble </w:t>
      </w:r>
      <w:r>
        <w:rPr>
          <w:rFonts w:ascii="Bell MT" w:hAnsi="Bell MT"/>
          <w:sz w:val="24"/>
          <w:szCs w:val="24"/>
        </w:rPr>
        <w:t>nécessaire dans une société démocratique, p</w:t>
      </w:r>
      <w:r w:rsidR="00B62803">
        <w:rPr>
          <w:rFonts w:ascii="Bell MT" w:hAnsi="Bell MT"/>
          <w:sz w:val="24"/>
          <w:szCs w:val="24"/>
        </w:rPr>
        <w:t xml:space="preserve">articulièrement en matière de conservation et </w:t>
      </w:r>
      <w:r w:rsidR="00BD5DDA">
        <w:rPr>
          <w:rFonts w:ascii="Bell MT" w:hAnsi="Bell MT"/>
          <w:sz w:val="24"/>
          <w:szCs w:val="24"/>
        </w:rPr>
        <w:t xml:space="preserve">de </w:t>
      </w:r>
      <w:r w:rsidR="00B62803">
        <w:rPr>
          <w:rFonts w:ascii="Bell MT" w:hAnsi="Bell MT"/>
          <w:sz w:val="24"/>
          <w:szCs w:val="24"/>
        </w:rPr>
        <w:t>traitement des données personnelles</w:t>
      </w:r>
      <w:r>
        <w:rPr>
          <w:rFonts w:ascii="Bell MT" w:hAnsi="Bell MT"/>
          <w:sz w:val="24"/>
          <w:szCs w:val="24"/>
        </w:rPr>
        <w:t>.</w:t>
      </w:r>
    </w:p>
    <w:p w:rsidR="00B62803" w:rsidRDefault="002C00B5" w:rsidP="00B62803">
      <w:pPr>
        <w:spacing w:line="240" w:lineRule="auto"/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Pour la Cour européenne des droits de l’homme, « </w:t>
      </w:r>
      <w:r>
        <w:rPr>
          <w:rFonts w:ascii="Bell MT" w:hAnsi="Bell MT"/>
          <w:i/>
          <w:sz w:val="24"/>
          <w:szCs w:val="24"/>
        </w:rPr>
        <w:t>l</w:t>
      </w:r>
      <w:r w:rsidRPr="00450808">
        <w:rPr>
          <w:rFonts w:ascii="Bell MT" w:hAnsi="Bell MT"/>
          <w:i/>
          <w:sz w:val="24"/>
          <w:szCs w:val="24"/>
        </w:rPr>
        <w:t>a notion de vie privée est une notion large non susceptible d’une définition exhaustive</w:t>
      </w:r>
      <w:r>
        <w:rPr>
          <w:rFonts w:ascii="Bell MT" w:hAnsi="Bell MT"/>
          <w:sz w:val="24"/>
          <w:szCs w:val="24"/>
        </w:rPr>
        <w:t> »</w:t>
      </w:r>
      <w:r w:rsidRPr="00CC2CED">
        <w:rPr>
          <w:rFonts w:ascii="Bell MT" w:hAnsi="Bell MT"/>
          <w:sz w:val="24"/>
          <w:szCs w:val="24"/>
        </w:rPr>
        <w:t xml:space="preserve"> </w:t>
      </w:r>
      <w:r>
        <w:rPr>
          <w:rFonts w:ascii="Bell MT" w:hAnsi="Bell MT"/>
          <w:sz w:val="24"/>
          <w:szCs w:val="24"/>
        </w:rPr>
        <w:t xml:space="preserve">(CEDH 29 avril 2002, </w:t>
      </w:r>
      <w:proofErr w:type="spellStart"/>
      <w:r w:rsidRPr="00450808">
        <w:rPr>
          <w:rFonts w:ascii="Bell MT" w:hAnsi="Bell MT"/>
          <w:i/>
          <w:sz w:val="24"/>
          <w:szCs w:val="24"/>
        </w:rPr>
        <w:t>Pretty</w:t>
      </w:r>
      <w:proofErr w:type="spellEnd"/>
      <w:r w:rsidRPr="00450808">
        <w:rPr>
          <w:rFonts w:ascii="Bell MT" w:hAnsi="Bell MT"/>
          <w:i/>
          <w:sz w:val="24"/>
          <w:szCs w:val="24"/>
        </w:rPr>
        <w:t xml:space="preserve"> c/ Royaume-Uni</w:t>
      </w:r>
      <w:r>
        <w:rPr>
          <w:rFonts w:ascii="Bell MT" w:hAnsi="Bell MT"/>
          <w:sz w:val="24"/>
          <w:szCs w:val="24"/>
        </w:rPr>
        <w:t>).</w:t>
      </w:r>
      <w:r>
        <w:rPr>
          <w:rFonts w:ascii="Bell MT" w:hAnsi="Bell MT"/>
          <w:sz w:val="24"/>
          <w:szCs w:val="24"/>
        </w:rPr>
        <w:t xml:space="preserve"> </w:t>
      </w:r>
      <w:r w:rsidR="00450808">
        <w:rPr>
          <w:rFonts w:ascii="Bell MT" w:hAnsi="Bell MT"/>
          <w:sz w:val="24"/>
          <w:szCs w:val="24"/>
        </w:rPr>
        <w:t xml:space="preserve">Dans l’arrêt </w:t>
      </w:r>
      <w:r w:rsidR="00B62803" w:rsidRPr="00450808">
        <w:rPr>
          <w:rFonts w:ascii="Bell MT" w:hAnsi="Bell MT"/>
          <w:i/>
          <w:sz w:val="24"/>
          <w:szCs w:val="24"/>
        </w:rPr>
        <w:t>Gardel c/</w:t>
      </w:r>
      <w:r w:rsidR="00450808">
        <w:rPr>
          <w:rFonts w:ascii="Bell MT" w:hAnsi="Bell MT"/>
          <w:i/>
          <w:sz w:val="24"/>
          <w:szCs w:val="24"/>
        </w:rPr>
        <w:t xml:space="preserve"> </w:t>
      </w:r>
      <w:r w:rsidR="00450808" w:rsidRPr="00450808">
        <w:rPr>
          <w:rFonts w:ascii="Bell MT" w:hAnsi="Bell MT"/>
          <w:i/>
          <w:sz w:val="24"/>
          <w:szCs w:val="24"/>
        </w:rPr>
        <w:t xml:space="preserve">France </w:t>
      </w:r>
      <w:r w:rsidR="00450808">
        <w:rPr>
          <w:rFonts w:ascii="Bell MT" w:hAnsi="Bell MT"/>
          <w:sz w:val="24"/>
          <w:szCs w:val="24"/>
        </w:rPr>
        <w:t>du</w:t>
      </w:r>
      <w:r w:rsidR="00B62803" w:rsidRPr="00CC2CED">
        <w:rPr>
          <w:rFonts w:ascii="Bell MT" w:hAnsi="Bell MT"/>
          <w:sz w:val="24"/>
          <w:szCs w:val="24"/>
        </w:rPr>
        <w:t xml:space="preserve"> 17 décembre 2009</w:t>
      </w:r>
      <w:r w:rsidR="00450808">
        <w:rPr>
          <w:rFonts w:ascii="Bell MT" w:hAnsi="Bell MT"/>
          <w:sz w:val="24"/>
          <w:szCs w:val="24"/>
        </w:rPr>
        <w:t xml:space="preserve">, </w:t>
      </w:r>
      <w:r>
        <w:rPr>
          <w:rFonts w:ascii="Bell MT" w:hAnsi="Bell MT"/>
          <w:sz w:val="24"/>
          <w:szCs w:val="24"/>
        </w:rPr>
        <w:t>elle</w:t>
      </w:r>
      <w:r w:rsidR="00450808">
        <w:rPr>
          <w:rFonts w:ascii="Bell MT" w:hAnsi="Bell MT"/>
          <w:sz w:val="24"/>
          <w:szCs w:val="24"/>
        </w:rPr>
        <w:t xml:space="preserve"> </w:t>
      </w:r>
      <w:r>
        <w:rPr>
          <w:rFonts w:ascii="Bell MT" w:hAnsi="Bell MT"/>
          <w:sz w:val="24"/>
          <w:szCs w:val="24"/>
        </w:rPr>
        <w:t>y inclut la droit à la protection des données personnelles</w:t>
      </w:r>
      <w:r w:rsidR="00B62803" w:rsidRPr="00CC2CED">
        <w:rPr>
          <w:rFonts w:ascii="Bell MT" w:hAnsi="Bell MT"/>
          <w:sz w:val="24"/>
          <w:szCs w:val="24"/>
        </w:rPr>
        <w:t> : « </w:t>
      </w:r>
      <w:r w:rsidR="00B62803" w:rsidRPr="00450808">
        <w:rPr>
          <w:rFonts w:ascii="Bell MT" w:hAnsi="Bell MT"/>
          <w:i/>
          <w:sz w:val="24"/>
          <w:szCs w:val="24"/>
        </w:rPr>
        <w:t>la mémorisation par une autorité publique de données relatives à la vie privée d’un individu constitue une ingérence au sens de l’article 8</w:t>
      </w:r>
      <w:r w:rsidR="00450808">
        <w:rPr>
          <w:rFonts w:ascii="Bell MT" w:hAnsi="Bell MT"/>
          <w:i/>
          <w:sz w:val="24"/>
          <w:szCs w:val="24"/>
        </w:rPr>
        <w:t xml:space="preserve"> (sur le droit au respect de la vie privée)</w:t>
      </w:r>
      <w:r w:rsidR="00B62803" w:rsidRPr="00450808">
        <w:rPr>
          <w:rFonts w:ascii="Bell MT" w:hAnsi="Bell MT"/>
          <w:i/>
          <w:sz w:val="24"/>
          <w:szCs w:val="24"/>
        </w:rPr>
        <w:t>. […] La protection des données à caract</w:t>
      </w:r>
      <w:r w:rsidR="00B62803" w:rsidRPr="00450808">
        <w:rPr>
          <w:rFonts w:ascii="Bell MT" w:hAnsi="Bell MT" w:cs="Bell MT"/>
          <w:i/>
          <w:sz w:val="24"/>
          <w:szCs w:val="24"/>
        </w:rPr>
        <w:t>è</w:t>
      </w:r>
      <w:r w:rsidR="00B62803" w:rsidRPr="00450808">
        <w:rPr>
          <w:rFonts w:ascii="Bell MT" w:hAnsi="Bell MT"/>
          <w:i/>
          <w:sz w:val="24"/>
          <w:szCs w:val="24"/>
        </w:rPr>
        <w:t>re personnel joue un r</w:t>
      </w:r>
      <w:r w:rsidR="00B62803" w:rsidRPr="00450808">
        <w:rPr>
          <w:rFonts w:ascii="Bell MT" w:hAnsi="Bell MT" w:cs="Bell MT"/>
          <w:i/>
          <w:sz w:val="24"/>
          <w:szCs w:val="24"/>
        </w:rPr>
        <w:t>ô</w:t>
      </w:r>
      <w:r w:rsidR="00B62803" w:rsidRPr="00450808">
        <w:rPr>
          <w:rFonts w:ascii="Bell MT" w:hAnsi="Bell MT"/>
          <w:i/>
          <w:sz w:val="24"/>
          <w:szCs w:val="24"/>
        </w:rPr>
        <w:t>le fondamental pour l’exercice du droit au respect de la vie privée et familiale consacré par l’article 8 de la Convention. La législation interne doit donc ménager des garanties appropriées pour empêcher toute utilisation de données à caract</w:t>
      </w:r>
      <w:r w:rsidR="00B62803" w:rsidRPr="00450808">
        <w:rPr>
          <w:rFonts w:ascii="Bell MT" w:hAnsi="Bell MT" w:cs="Bell MT"/>
          <w:i/>
          <w:sz w:val="24"/>
          <w:szCs w:val="24"/>
        </w:rPr>
        <w:t>è</w:t>
      </w:r>
      <w:r w:rsidR="00B62803" w:rsidRPr="00450808">
        <w:rPr>
          <w:rFonts w:ascii="Bell MT" w:hAnsi="Bell MT"/>
          <w:i/>
          <w:sz w:val="24"/>
          <w:szCs w:val="24"/>
        </w:rPr>
        <w:t>re personnel qui ne serait pas conforme aux garanties prévues dans cet article</w:t>
      </w:r>
      <w:r w:rsidR="00B62803" w:rsidRPr="00CC2CED">
        <w:rPr>
          <w:rFonts w:ascii="Bell MT" w:hAnsi="Bell MT"/>
          <w:sz w:val="24"/>
          <w:szCs w:val="24"/>
        </w:rPr>
        <w:t> ».</w:t>
      </w:r>
    </w:p>
    <w:p w:rsidR="00B62803" w:rsidRPr="00CC2CED" w:rsidRDefault="00B62803" w:rsidP="002C00B5">
      <w:pPr>
        <w:spacing w:line="240" w:lineRule="auto"/>
        <w:jc w:val="both"/>
        <w:rPr>
          <w:rFonts w:ascii="Bell MT" w:hAnsi="Bell MT"/>
          <w:sz w:val="24"/>
          <w:szCs w:val="24"/>
        </w:rPr>
      </w:pPr>
      <w:r w:rsidRPr="00CC2CED">
        <w:rPr>
          <w:rFonts w:ascii="Bell MT" w:hAnsi="Bell MT"/>
          <w:sz w:val="24"/>
          <w:szCs w:val="24"/>
        </w:rPr>
        <w:t xml:space="preserve">Toutefois le droit au respect de la vie privée est un droit fondamental récent </w:t>
      </w:r>
      <w:r w:rsidR="00B84D68">
        <w:rPr>
          <w:rFonts w:ascii="Bell MT" w:hAnsi="Bell MT"/>
          <w:sz w:val="24"/>
          <w:szCs w:val="24"/>
        </w:rPr>
        <w:t>qui</w:t>
      </w:r>
      <w:r w:rsidRPr="00CC2CED">
        <w:rPr>
          <w:rFonts w:ascii="Bell MT" w:hAnsi="Bell MT"/>
          <w:sz w:val="24"/>
          <w:szCs w:val="24"/>
        </w:rPr>
        <w:t xml:space="preserve"> ne semble pas bénéficier d’une protection aussi extensive que d’autres droits comme la liberté d’aller et venir ou la liberté d’expression. En effet</w:t>
      </w:r>
      <w:r w:rsidR="002C00B5">
        <w:rPr>
          <w:rFonts w:ascii="Bell MT" w:hAnsi="Bell MT"/>
          <w:sz w:val="24"/>
          <w:szCs w:val="24"/>
        </w:rPr>
        <w:t>,</w:t>
      </w:r>
      <w:r w:rsidRPr="00CC2CED">
        <w:rPr>
          <w:rFonts w:ascii="Bell MT" w:hAnsi="Bell MT"/>
          <w:sz w:val="24"/>
          <w:szCs w:val="24"/>
        </w:rPr>
        <w:t xml:space="preserve"> il est souvent </w:t>
      </w:r>
      <w:r w:rsidR="00B84D68">
        <w:rPr>
          <w:rFonts w:ascii="Bell MT" w:hAnsi="Bell MT"/>
          <w:sz w:val="24"/>
          <w:szCs w:val="24"/>
        </w:rPr>
        <w:t>considéré comme le corollaire de</w:t>
      </w:r>
      <w:r w:rsidRPr="00CC2CED">
        <w:rPr>
          <w:rFonts w:ascii="Bell MT" w:hAnsi="Bell MT"/>
          <w:sz w:val="24"/>
          <w:szCs w:val="24"/>
        </w:rPr>
        <w:t xml:space="preserve"> la liberté individuelle</w:t>
      </w:r>
      <w:r w:rsidR="00450808">
        <w:rPr>
          <w:rFonts w:ascii="Bell MT" w:hAnsi="Bell MT"/>
          <w:sz w:val="24"/>
          <w:szCs w:val="24"/>
        </w:rPr>
        <w:t>, mais paradoxalement, alors que les atteint</w:t>
      </w:r>
      <w:r w:rsidR="00BD5DDA">
        <w:rPr>
          <w:rFonts w:ascii="Bell MT" w:hAnsi="Bell MT"/>
          <w:sz w:val="24"/>
          <w:szCs w:val="24"/>
        </w:rPr>
        <w:t>es à la liberté individuelle</w:t>
      </w:r>
      <w:r w:rsidR="00450808">
        <w:rPr>
          <w:rFonts w:ascii="Bell MT" w:hAnsi="Bell MT"/>
          <w:sz w:val="24"/>
          <w:szCs w:val="24"/>
        </w:rPr>
        <w:t xml:space="preserve"> sont contrôlées en amont par un juge, ce n’est pas le cas des atteintes au droit au respect de la vie privée</w:t>
      </w:r>
      <w:r w:rsidRPr="00CC2CED">
        <w:rPr>
          <w:rFonts w:ascii="Bell MT" w:hAnsi="Bell MT"/>
          <w:sz w:val="24"/>
          <w:szCs w:val="24"/>
        </w:rPr>
        <w:t>.</w:t>
      </w:r>
    </w:p>
    <w:p w:rsidR="00B62803" w:rsidRDefault="00450808" w:rsidP="002C00B5">
      <w:pPr>
        <w:spacing w:line="240" w:lineRule="auto"/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La présente contribution vise à s’interroger sur les évolutions</w:t>
      </w:r>
      <w:r w:rsidR="00B84D68">
        <w:rPr>
          <w:rFonts w:ascii="Bell MT" w:hAnsi="Bell MT"/>
          <w:sz w:val="24"/>
          <w:szCs w:val="24"/>
        </w:rPr>
        <w:t xml:space="preserve"> et les fondements</w:t>
      </w:r>
      <w:r>
        <w:rPr>
          <w:rFonts w:ascii="Bell MT" w:hAnsi="Bell MT"/>
          <w:sz w:val="24"/>
          <w:szCs w:val="24"/>
        </w:rPr>
        <w:t xml:space="preserve"> des droits constitutionnel et européen qui excluent la compétence judiciaire en tant qu’autorité de contrôle préalable des atteintes à la vie privée causées par la collecte et la conservation de données dans les fichiers, et sur la pertinence de l’intervention d’une autorité </w:t>
      </w:r>
      <w:r w:rsidR="00083739">
        <w:rPr>
          <w:rFonts w:ascii="Bell MT" w:hAnsi="Bell MT"/>
          <w:sz w:val="24"/>
          <w:szCs w:val="24"/>
        </w:rPr>
        <w:t>administrative</w:t>
      </w:r>
      <w:bookmarkStart w:id="0" w:name="_GoBack"/>
      <w:bookmarkEnd w:id="0"/>
      <w:r>
        <w:rPr>
          <w:rFonts w:ascii="Bell MT" w:hAnsi="Bell MT"/>
          <w:sz w:val="24"/>
          <w:szCs w:val="24"/>
        </w:rPr>
        <w:t xml:space="preserve"> indépendante</w:t>
      </w:r>
      <w:r w:rsidR="00B84D68">
        <w:rPr>
          <w:rFonts w:ascii="Bell MT" w:hAnsi="Bell MT"/>
          <w:sz w:val="24"/>
          <w:szCs w:val="24"/>
        </w:rPr>
        <w:t xml:space="preserve"> qui est en revanche considérée comme une garantie nécessaire et suffisante</w:t>
      </w:r>
      <w:r>
        <w:rPr>
          <w:rFonts w:ascii="Bell MT" w:hAnsi="Bell MT"/>
          <w:sz w:val="24"/>
          <w:szCs w:val="24"/>
        </w:rPr>
        <w:t>.</w:t>
      </w:r>
    </w:p>
    <w:p w:rsidR="001C609E" w:rsidRDefault="00083739"/>
    <w:sectPr w:rsidR="001C6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03"/>
    <w:rsid w:val="00083739"/>
    <w:rsid w:val="0011168F"/>
    <w:rsid w:val="002C00B5"/>
    <w:rsid w:val="00450808"/>
    <w:rsid w:val="00454EF4"/>
    <w:rsid w:val="007B07E9"/>
    <w:rsid w:val="00B62803"/>
    <w:rsid w:val="00B84D68"/>
    <w:rsid w:val="00BD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8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8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10</cp:revision>
  <dcterms:created xsi:type="dcterms:W3CDTF">2015-11-22T14:35:00Z</dcterms:created>
  <dcterms:modified xsi:type="dcterms:W3CDTF">2015-11-22T15:04:00Z</dcterms:modified>
</cp:coreProperties>
</file>